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Vännäs kommunfullmäktige</w:t>
      </w:r>
    </w:p>
    <w:p>
      <w:pPr>
        <w:pStyle w:val="Heading1"/>
      </w:pPr>
      <w:r>
        <w:t xml:space="preserve">Förbättrad cykel- och kollektivtrafik till Umeå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Vännäs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Pendling till Umeå är viktig för Vännäs arbetsmarknad. Nuvarande cykelvägar och turtäthet är otillräcklig enligt Trafikverkets 2023-analys. Fler avgångar och säkra cykelstråk ökar attraktiviteten.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Vännäs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30-minuters turtäthet Umeå–Vännäs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färdigställa separerad cykelväg längs väg 363 senast 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tkr för cykelparkeringar vid stationen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pendlarstatistik till fullmäktige.</w:t>
      </w:r>
    </w:p>
    <w:p>
      <w:pPr>
        <w:spacing w:before="360"/>
      </w:pPr>
    </w:p>
    <w:p>
      <w:r>
        <w:t xml:space="preserve">Vännäs,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Vännäs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2026-07-14T05:40:16.772Z</dcterms:created>
  <dcterms:modified xsi:type="dcterms:W3CDTF">2026-07-14T05:40:16.772Z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